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TÉMATICKÝ PLÁN                                                        vyučovací předmět: VLASTIVĚDA                                                            třída:  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Školní rok    </w:t>
      </w:r>
      <w:r w:rsidDel="00000000" w:rsidR="00000000" w:rsidRPr="00000000">
        <w:rPr>
          <w:color w:val="000000"/>
          <w:u w:val="single"/>
          <w:rtl w:val="0"/>
        </w:rPr>
        <w:t xml:space="preserve">202</w:t>
      </w:r>
      <w:r w:rsidDel="00000000" w:rsidR="00000000" w:rsidRPr="00000000">
        <w:rPr>
          <w:u w:val="single"/>
          <w:rtl w:val="0"/>
        </w:rPr>
        <w:t xml:space="preserve">3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metody, formy práce, pomůcky, exkurze, akce, 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konkretizuje pojmy území, poloha, místní krajina, místní oblast, územní a správní celek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seznamuje se s dřívějším rozdělením ČR a obyvatelstvem</w:t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vyjádří vlastními slovy územně správní pojmy obec, okres, region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seznamuje se s rozdělením ČR na kraje</w:t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přiřadí hlavní sídelní střediska k jednotlivým územním celkům</w:t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ukládá si zajímavé odkazy na zdroje informací pro další použití </w:t>
            </w:r>
          </w:p>
          <w:p w:rsidR="00000000" w:rsidDel="00000000" w:rsidP="00000000" w:rsidRDefault="00000000" w:rsidRPr="00000000" w14:paraId="00000018">
            <w:pPr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odliší vlastní a cizí digitální obsah</w:t>
            </w:r>
          </w:p>
          <w:p w:rsidR="00000000" w:rsidDel="00000000" w:rsidP="00000000" w:rsidRDefault="00000000" w:rsidRPr="00000000" w14:paraId="00000019">
            <w:pPr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používá-li cizí digitální obsah, uvede zdroj</w:t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polohu místní krajiny a místní oblasti vzhledem k vyšším územním a správním celkům ČR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určí a vysvětlí polohu svého bydliště nebo pobytu vzhledem ke krajině a státu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zeměpisné a přírodní prvky místní krajiny a místní oblasti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 typické regionální zvláštnosti přírody, osídlení, hospodářství  a kultury, jednoduchým způsobem posoudí jejich význam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Naše vlast – Česká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domov, v němž žijeme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naše nejbližší okolí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Naše vlast – Česká republika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územní rozdělení ČR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Praha a vybrané oblasti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Žatec ve vyšším územním a správním celku, krajina v okolí Žatce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leader="none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poloha Žatce v krajině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vliv krajiny na život lidí v Žatci, působení lidí na krajinu a životní prostředí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používá správné termíny a výstižné výrazy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vysloví svou myšlenku, mluví nahlas a zřetelně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-když něčemu nerozumí, zeptá se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vysvětlí pojmy vlast, cizina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- vyjmenuje a popíše státní symboly</w:t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0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rozlišuje hlavní orgány státní moci a některé jejich zástupce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symboly našeho státu a jejich význa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dokáže interpretovat s porozuměním základní státoprávní pojmy – stát, prezident, parlament, vláda, volby, demokracie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uvede jméno prezidenta a premiéra ČR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   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rozlišuje mezi  náčrty, plány a základními typy map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vyhledá jednoduché údaje o přírodních</w:t>
            </w:r>
          </w:p>
          <w:p w:rsidR="00000000" w:rsidDel="00000000" w:rsidP="00000000" w:rsidRDefault="00000000" w:rsidRPr="00000000" w14:paraId="0000005C">
            <w:pPr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orientuje se na mapě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tabs>
                <w:tab w:val="left" w:leader="none" w:pos="360"/>
              </w:tabs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určí světové strany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 přírodě i podle mapy, orientuje se podle nich a řídí se podle zásad bezpečného pobytu a pohybu v přírodě 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360"/>
              </w:tabs>
              <w:ind w:left="360" w:firstLine="0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360"/>
              </w:tabs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- vyhledá jednoduché údaje o přírodních podmínkách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 sídlištích lodí na mapách naší republiky</w:t>
            </w:r>
          </w:p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Země, ve které žijeme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Česká republika – demokratický stát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Mapy obecně zeměpisné a tematické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obsah</w:t>
            </w:r>
          </w:p>
          <w:p w:rsidR="00000000" w:rsidDel="00000000" w:rsidP="00000000" w:rsidRDefault="00000000" w:rsidRPr="00000000" w14:paraId="0000007A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grafika</w:t>
            </w:r>
          </w:p>
          <w:p w:rsidR="00000000" w:rsidDel="00000000" w:rsidP="00000000" w:rsidRDefault="00000000" w:rsidRPr="00000000" w14:paraId="0000007B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vysvětlivky</w:t>
            </w:r>
          </w:p>
          <w:p w:rsidR="00000000" w:rsidDel="00000000" w:rsidP="00000000" w:rsidRDefault="00000000" w:rsidRPr="00000000" w14:paraId="0000007C">
            <w:pPr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orientace v krajině podle mapy, světové strany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tabs>
                <w:tab w:val="left" w:leader="none" w:pos="360"/>
              </w:tabs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zemský povrch a jeho tvary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tabs>
                <w:tab w:val="left" w:leader="none" w:pos="360"/>
              </w:tabs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orientační body a linie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k myšlení v 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jsem Evropané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občan, občanská společnost a stát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formy participace občanů v politickém životě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podílí se na vytváření pravidel a dodržuje je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oceňuje zkušenosti druhých, čerpá z nich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charakterizuje přírodní tvárnost území ČR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vyhledává ve vlastivědné mapě odlišné povrchy území a dokáže je popsat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vyjádří polohu jednotlivých oblastí ČR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objasní pojmy – nížina, údolí, vysočina, hory, pohoří, pahorkatina, vrchovina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objasní pojmy – pramen, povodí, přítok, soutok, ústí, přehrada, rybník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povodí velkých řek – Vltava, Labe, Odra, Morava, Dyje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na vlastivědné mapě demonstruje pravé a levé přítoky velkých řek a významné vodní nádrže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uvede nejvýznamnější velkoplošná chráněná území přírody v ČR</w:t>
            </w:r>
          </w:p>
          <w:p w:rsidR="00000000" w:rsidDel="00000000" w:rsidP="00000000" w:rsidRDefault="00000000" w:rsidRPr="00000000" w14:paraId="000000C4">
            <w:pPr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uvede příklady poškození ochrany a tvorby životního prostředí</w:t>
            </w:r>
          </w:p>
          <w:p w:rsidR="00000000" w:rsidDel="00000000" w:rsidP="00000000" w:rsidRDefault="00000000" w:rsidRPr="00000000" w14:paraId="000000C5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s pomocí vhodných map vyjmenuje příklady chráněných území přírody v regionu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Povrch České republiky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Typy krajiny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Vodstvo České republiky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Ochrana ČR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(4 národní parky, některá CHKO)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 prostředí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popíše počasí a podnebí v ČR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 charakterizuje složení půdy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sz w:val="22"/>
                <w:szCs w:val="22"/>
                <w:rtl w:val="0"/>
              </w:rPr>
              <w:t xml:space="preserve">demonstruje na vhodných mapách významné zemědělské oblasti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vysvětlí pojmy surovina, nerostné bohatství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 použitím vlastivědné mapy uvede místa s významným nalezištěm nerostných surovin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významná hospodářská města ČR a určí typ </w:t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Počasí a podnebí v Č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Půd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 a zemědělství v 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Nerostné bohatství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</w:tc>
        <w:tc>
          <w:tcPr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na mapě významná průmyslová místa ČR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seznámí se s průmyslovým odvětvím 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z dostupných informačních zdrojů průmyslová města a popíše jejich odvětví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uvede typy dopravy v ČR</w:t>
            </w:r>
          </w:p>
          <w:p w:rsidR="00000000" w:rsidDel="00000000" w:rsidP="00000000" w:rsidRDefault="00000000" w:rsidRPr="00000000" w14:paraId="00000152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dokáže popsat výhody a nevýhody jednotlivých druhů dopravy se zaměřením na ekologickou stránku</w:t>
            </w:r>
          </w:p>
          <w:p w:rsidR="00000000" w:rsidDel="00000000" w:rsidP="00000000" w:rsidRDefault="00000000" w:rsidRPr="00000000" w14:paraId="00000153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uvede oblasti poskytovaných služeb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diskutuje o způsobech hospodaření s financemi a způsobech platby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- orientuje se v základních formách vlastnictví, používá peníze v běžných situacích, odhadne a zkontroluje cenu nákupu a vrácené peníze, na příkladu ukáže nemožnost realizace všech chtěných výdajů, vysvětlí, proč spořit, kdy si půjčovat a jak vracet dluhy</w:t>
            </w:r>
          </w:p>
        </w:tc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Průmysl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 Č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Doprava 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Služby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Kulturní instituce v ČR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Hospodaření s financemi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Enviromentální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 prostředí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aktivity a problémy životního prostředí</w:t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vztah člověka k prostředí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Finanční gramotnost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chápe základní ekologické souvislosti a enviromentální problémy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pracuje s časovými údaji na časové přímce a využívá zjištěných údajů k pochopení vztahů mezi ději a mezi jevy</w:t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svými slovy vývojové etapy historie</w:t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pravěku – doba kamenná, bronzová a železná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svými slovy způsob života starých Slovanů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Kapitoly z nejstarších dějin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Úvod – orientace na časové přímce</w:t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nejstarší osídlení naší vlasti</w:t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Sámův kmenový svaz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-poznávání lidí</w:t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zpracuje pod vedením učitele přiměřeně dlouhé poznámky z učebnice</w:t>
            </w:r>
          </w:p>
        </w:tc>
        <w:tc>
          <w:tcPr/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-vyjádří rozdíl mezi pověstí a historickou skutečností</w:t>
            </w:r>
          </w:p>
          <w:p w:rsidR="00000000" w:rsidDel="00000000" w:rsidP="00000000" w:rsidRDefault="00000000" w:rsidRPr="00000000" w14:paraId="000001E4">
            <w:pPr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0"/>
              </w:tabs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typické regionální zvláštnosti</w:t>
            </w:r>
          </w:p>
          <w:p w:rsidR="00000000" w:rsidDel="00000000" w:rsidP="00000000" w:rsidRDefault="00000000" w:rsidRPr="00000000" w14:paraId="000001E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přírody, osídlení, hospodářství a kultury, jednoduchým způsobem posoudí jejich význam z hlediska přírodního, historického, politického, správního a vlastnického</w:t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první státní útvary na našem území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přínos příchodu Konstantina a Metoděje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seznámí se s vývojem prvních řemesel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Staré pověsti české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vyprávění a pravda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Velkomoravská říše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 různých zdrojích vyhledává informace, které souvisejí s tématem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používá správné termíny a výstižné výrazy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srozumitelně vysloví svou myšlenku, mluví nahlas a zřetelně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-když něčemu nerozumí, zeptá se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respektuje základní jednoduchá pravidla trvale udržitelného života</w:t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demonstrace</w:t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dramatizace</w:t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prvních státních útvarů na našem území </w:t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srovná a hodnotí na vybraných ukázkách způsob života a práce předků na našem území v minulosti a současnosti s využitím regionálních</w:t>
            </w:r>
          </w:p>
          <w:p w:rsidR="00000000" w:rsidDel="00000000" w:rsidP="00000000" w:rsidRDefault="00000000" w:rsidRPr="00000000" w14:paraId="000002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    specifik</w:t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vzniku českého království</w:t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Počátky českého státu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království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etnický původ</w:t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2"/>
                <w:szCs w:val="22"/>
                <w:u w:val="single"/>
                <w:rtl w:val="0"/>
              </w:rPr>
              <w:t xml:space="preserve">Projekt - Karel IV. – Otec vlasti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hospodářský a kulturní rozvoj Českého státu za vlády Karla IV.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způsob života jednotlivých vrstev obyvatelstva (život ve středověké vsi, ve městě, na hradě, v klášteře)</w:t>
            </w:r>
          </w:p>
          <w:p w:rsidR="00000000" w:rsidDel="00000000" w:rsidP="00000000" w:rsidRDefault="00000000" w:rsidRPr="00000000" w14:paraId="000002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využívá arch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ivů 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knihoven, sbírek muzeí a galerií jako informačních zdrojů pro pochopení minulosti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období husitských válek</w:t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jmenuje významné osobnosti této doby (Hus, Žižka)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království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Karel IV.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Otec vlasti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PROJEKT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Jan Hus – České země v době husitské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-poznávání lidí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problémů a rozhodovací dovednosti</w:t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sebepoznání a sebepojetí</w:t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kooperace</w:t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účinně spolupracuje ve skupině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podílí se na vytváření pravidel a dodržuje je</w:t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oceňuje zkušenosti druhých, čerpá z nich</w:t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se aktivně zapojuje do výuky</w:t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  třídí informace, efektivně je využívá v procesu učení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zpracuje pod vedením učitele přiměřeně dlouhé poznámky z učebnice</w:t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 pomoc, radu</w:t>
            </w:r>
          </w:p>
        </w:tc>
        <w:tc>
          <w:tcPr/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na interaktivní tabuli</w:t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způsob života lidí v této době a za vlády Jiřího z Poděbrad</w:t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období vlády Jagellonců</w:t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charakterizuje způsob života lidí za doby prvních Habsburků</w:t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popíše nejvýznamnější události a osobnosti období habsburské monarchie </w:t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Život ve městech a na zámcích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Jagellonci na českém trůně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Nástup Habsburků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České povstání proti Habsburkům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 demokratického občana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občanská společnost a škola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Multikulturní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lidské vztahy</w:t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etnický původ</w:t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Osobnostní a sociální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rozvoj schopnosti poznávání</w:t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komunikace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mezilidské vztahy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řešení problémů a rozhodovací dovednosti</w:t>
            </w:r>
          </w:p>
        </w:tc>
        <w:tc>
          <w:tcPr/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žák používá bezpečně a účinně materiály, nástroje vybavení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dodržuje vymezená pravidla</w:t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přizpůsobuje se výsledkům pracovní činnosti</w:t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respektuje a ocení naše tradice  kulturní historické dědictví</w:t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projevuje pozitivní postoj k uměleckým dílům</w:t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obrázkový materiál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vlastivědné mapy</w:t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knižní publikace</w:t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ukázky z filmů</w:t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vyhledávání informací na internetu a v encyklopediích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soutěže, hry, doplňovačky, kvízy</w:t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práce ve skupinách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kooperativní učení</w:t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tvořivé činnostní učení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samostatná práce</w:t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frontální činnosti ve skupinách</w:t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využití internetu-  hry, rébusy, úkoly, procvičovací a upevňovací cvičení</w:t>
            </w:r>
          </w:p>
        </w:tc>
      </w:tr>
    </w:tbl>
    <w:p w:rsidR="00000000" w:rsidDel="00000000" w:rsidP="00000000" w:rsidRDefault="00000000" w:rsidRPr="00000000" w14:paraId="000002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1906" w:w="16838" w:orient="landscape"/>
      <w:pgMar w:bottom="851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bsahtabulky" w:customStyle="1">
    <w:name w:val="Obsah tabulky"/>
    <w:basedOn w:val="Normln"/>
    <w:pPr>
      <w:suppressLineNumbers w:val="1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NormlnsWWW" w:customStyle="1">
    <w:name w:val="Normální (síť WWW)"/>
    <w:basedOn w:val="Normln"/>
    <w:pPr>
      <w:widowControl w:val="1"/>
    </w:pPr>
    <w:rPr>
      <w:kern w:val="0"/>
      <w:lang w:eastAsia="ar-SA"/>
    </w:rPr>
  </w:style>
  <w:style w:type="paragraph" w:styleId="Normlnweb">
    <w:name w:val="Normal (Web)"/>
    <w:basedOn w:val="Normln"/>
    <w:pPr>
      <w:widowControl w:val="1"/>
      <w:suppressAutoHyphens w:val="1"/>
    </w:pPr>
    <w:rPr>
      <w:kern w:val="0"/>
    </w:rPr>
  </w:style>
  <w:style w:type="character" w:styleId="Hypertextovodkaz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bBhHoMjtJw+NiMnCKTVn+5n7w==">CgMxLjAyCGguZ2pkZ3hzOAByITFwa3JCbzloUWVOU2dFU3dnal91S1ZVOUFJLUh0bFRDbg==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2020-06-29T08:07:00Z</dcterms:created>
  <dc:creator>Gita</dc:creator>
</cp:coreProperties>
</file>